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0" w:firstLine="360"/>
        <w:jc w:val="right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ALLEGATO 6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GARA NAZIONALE ISTITUTI PROFESSIONALI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 Servizi per la Sanità e l’Assistenza Sociale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Trescore Balneario   17 – 18 Maggio 2024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Esempio di PRIMA PROVA</w:t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Analisi e soluzione di problematiche in un contesto operativo riguardante l’area professionale</w:t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(caso professionale)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TRACCIA – Caso professionale: Antonio, il morbo di Parkinson e la RSA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CASO</w:t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Antonio è un paziente di 69 anni con morbo di Parkinson, che si presenta in RSA accompagnato dalla moglie. È molto rallentato nei movimenti, presenta un’andatura a piccoli passi, appare leggermente incurvato in avanti e la mano sinistra gli trema, a riposo. Quando cammina non presenta più i movimenti pendolari degli arti superiori. Da qualche anno ha cambiato espressione facciale, ha una mimica meno vivace, più spenta; inoltre gesticola poco e la sua voce è più bassa, quasi “bisbigliata”. La percezione della moglie Carla è quella di una rapida degenerazione. La donna ha subito da poco un’operazione l seno e, nonostante si stia riprendendo, è ancora molto fragile sul piano psico-emotivo. Considerando la sua condizione personale, l’aggravarsi delle condizioni del marito e il fatto che i loro due figli vivono entrambi all’esterno, Carla ha deciso di rivolgersi a una struttura specializzata. </w:t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DOCUMENTO</w:t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 malattia di Parkinson idiopatica, comunemente chiamata di Parkinson, è stata descritta per la prima volta da James Parkinson nel 1817 nello studio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An Assay on the Shaling Palsy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 Dopo la malattia di Alzheimer, quella di Parkinson è la malattia neurodegenerativa più diffusa. Durante il decorso della malattia i sintomi peggiorano, anche se il trattamento con i nuovi farmaci e le terapie non farmacologiche hanno notevolmente migliorato la qualità di vita dei pazienti. La malattia di Parkinson è una sindrome extrapiramidale caratterizzata da rigidità muscolare che si manifesta con resistenza ai movimenti passivi, tremore che insorge durante lo stato di riposo e può aumentare nel caso di stato di ansia e bradicinesia che provoca difficoltà a iniziare e terminare i movimenti. Questi sintomi si risolvono poi in disturbi dell’equilibrio, andatura impacciata e postura curva. Altri sintomi possono essere depressione e lentezza nel parlare. 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 malattia ha un substrato anatomopatologico di degenerazione neuronale della sostanza nera (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Substantia nigra pars compacta, Snpc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 con una progressione graduale e un decorso prolungato.</w:t>
      </w:r>
    </w:p>
    <w:p w:rsidR="00000000" w:rsidDel="00000000" w:rsidP="00000000" w:rsidRDefault="00000000" w:rsidRPr="00000000" w14:paraId="00000012">
      <w:pPr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Malattia di Parkinson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in www. Epicentro.iss.it, 19 settembre 2013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La candidata/il candidato analizzando quanto presentato, affronti l’argomento della patologia di Parkinson e predisponga la progettazione di un caso.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Esempio di SECONDA PROVA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Individuazione, predisposizione o descrizione delle fasi per la realizzazione di un servizio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candidato sulla base delle proprie conoscenze, dei materiali proposti e degli spunti di riflessione sulla disabilità Sclerosi Multipla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individui un servizio che risponda alle reali esigenze di individui che vivono i disagi e la condizione DI SCLEROSI MULTIPLA.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IL CANDIDATO LEGGA I DOCUMENTI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La SM è una malattia complessa che interessa non solo la persona che ne è affetta ma anche chi le sta vicino: tocca tutti gli aspetti della vita quotidiana, dalla sfera emotiva agli aspetti pratici.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Ogni famigliare è coinvolto nei cambiamenti e nella convivenza giornaliera e condivide emozioni e preoccupazioni: non sempre è facile affrontare quanto sta accadendo e soprattutto non è facile far comprendere e relazionarsi con gli altri su tutto quello che comporta la SM.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L’approccio medico non basta, serve l’inclusione sociale. A Roma la storia di Simona (nome di fantasia), dalla rassegnazione e l’isolamento alla riscoperta di sé, in relazione con gli altri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– Simona, si era rassegnata all’isolamento e all’esclusione a cui l’aveva costretta la sclerosi multipla, ed era convinta di non poter chiedere più nulla alla vita. Simona oggi ha “oltrepassato il muro” e ritrovato la propria motivazione all’interno di nuove relazioni sociali.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sua storia, come quella di molti altri, testimonia l’importanza di affiancare i pazienti non solo dal punto di vista medico, ma anche psicologico e sociale. 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Una necessità di cui il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Servizio Domiciliare del Presidio di Riabilitazione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Nuova Sair di Via Dionisio, nel quadrante di Roma Est, è convinto. Per questo è nato il progetto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“Al di là del muro”: il paziente con Sclerosi Multipla in trattamento domiciliare”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Il progetto “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l di là del muro” ha alcune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single"/>
          <w:vertAlign w:val="baseline"/>
          <w:rtl w:val="0"/>
        </w:rPr>
        <w:t xml:space="preserve">finalità, obiettivi,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mira cioè a migliorare la qualità di vita di oltre 20 persone affette da Sclerosi Multipla.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U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tenti del progetto: 20 persone giovani, adulte comprese fra i 30 ed i 40 anni di Roma est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con difficoltà visibili: disturbi dell’equilibrio, spasticità, tremore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con difficoltà invisibili: fatica, disturbi della sensibilità, di concentrazione di memoria, tutti avevano un lavoro, un ruolo sociale.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Ora tutte e 20 queste persone sono seguite presso il proprio domicilio, all’interno dell’intimità della casa con un approccio bio-psico-sociale, un approccio che supera i limiti fisici prodotti dalla malattia.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La persona viene considerata nel suo insieme, dando particolare risalto alle sue relazioni sociali.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720" w:top="426" w:left="1276" w:right="1133" w:header="284" w:footer="51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pBdr>
        <w:top w:color="808080" w:space="9" w:sz="8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b w:val="1"/>
        <w:color w:val="808080"/>
        <w:sz w:val="16"/>
        <w:szCs w:val="16"/>
      </w:rPr>
    </w:pPr>
    <w:r w:rsidDel="00000000" w:rsidR="00000000" w:rsidRPr="00000000">
      <w:rPr>
        <w:b w:val="1"/>
        <w:color w:val="333333"/>
        <w:sz w:val="16"/>
        <w:szCs w:val="16"/>
        <w:rtl w:val="0"/>
      </w:rPr>
      <w:t xml:space="preserve">Istituto Professionale:</w:t>
    </w:r>
    <w:r w:rsidDel="00000000" w:rsidR="00000000" w:rsidRPr="00000000">
      <w:rPr>
        <w:color w:val="000000"/>
        <w:sz w:val="16"/>
        <w:szCs w:val="16"/>
        <w:rtl w:val="0"/>
      </w:rPr>
      <w:t xml:space="preserve"> </w:t>
    </w:r>
    <w:r w:rsidDel="00000000" w:rsidR="00000000" w:rsidRPr="00000000">
      <w:rPr>
        <w:b w:val="1"/>
        <w:color w:val="808080"/>
        <w:sz w:val="16"/>
        <w:szCs w:val="16"/>
        <w:rtl w:val="0"/>
      </w:rPr>
      <w:t xml:space="preserve">Servizi Commerciali - Serv. Comm. Curvatura Design – Servizi per la sanità e l’assistenza sociale</w:t>
    </w:r>
    <w:r w:rsidDel="00000000" w:rsidR="00000000" w:rsidRPr="00000000">
      <w:rPr>
        <w:color w:val="808080"/>
        <w:sz w:val="16"/>
        <w:szCs w:val="16"/>
        <w:rtl w:val="0"/>
      </w:rPr>
      <w:br w:type="textWrapping"/>
    </w:r>
    <w:r w:rsidDel="00000000" w:rsidR="00000000" w:rsidRPr="00000000">
      <w:rPr>
        <w:b w:val="1"/>
        <w:color w:val="333333"/>
        <w:sz w:val="16"/>
        <w:szCs w:val="16"/>
        <w:rtl w:val="0"/>
      </w:rPr>
      <w:t xml:space="preserve">Istituto Tecnico</w:t>
    </w:r>
    <w:r w:rsidDel="00000000" w:rsidR="00000000" w:rsidRPr="00000000">
      <w:rPr>
        <w:color w:val="000000"/>
        <w:sz w:val="16"/>
        <w:szCs w:val="16"/>
        <w:rtl w:val="0"/>
      </w:rPr>
      <w:t xml:space="preserve"> </w:t>
    </w:r>
    <w:r w:rsidDel="00000000" w:rsidR="00000000" w:rsidRPr="00000000">
      <w:rPr>
        <w:b w:val="1"/>
        <w:color w:val="333333"/>
        <w:sz w:val="16"/>
        <w:szCs w:val="16"/>
        <w:rtl w:val="0"/>
      </w:rPr>
      <w:t xml:space="preserve">Economico:</w:t>
    </w:r>
    <w:r w:rsidDel="00000000" w:rsidR="00000000" w:rsidRPr="00000000">
      <w:rPr>
        <w:b w:val="1"/>
        <w:color w:val="808080"/>
        <w:sz w:val="16"/>
        <w:szCs w:val="16"/>
        <w:rtl w:val="0"/>
      </w:rPr>
      <w:t xml:space="preserve"> AFM, SIA e RIM  </w:t>
    </w:r>
    <w:r w:rsidDel="00000000" w:rsidR="00000000" w:rsidRPr="00000000">
      <w:rPr>
        <w:b w:val="1"/>
        <w:color w:val="333333"/>
        <w:sz w:val="16"/>
        <w:szCs w:val="16"/>
        <w:rtl w:val="0"/>
      </w:rPr>
      <w:t xml:space="preserve">Istituto Tecnico</w:t>
    </w:r>
    <w:r w:rsidDel="00000000" w:rsidR="00000000" w:rsidRPr="00000000">
      <w:rPr>
        <w:b w:val="1"/>
        <w:color w:val="808080"/>
        <w:sz w:val="16"/>
        <w:szCs w:val="16"/>
        <w:rtl w:val="0"/>
      </w:rPr>
      <w:t xml:space="preserve"> </w:t>
    </w:r>
    <w:r w:rsidDel="00000000" w:rsidR="00000000" w:rsidRPr="00000000">
      <w:rPr>
        <w:b w:val="1"/>
        <w:color w:val="333333"/>
        <w:sz w:val="16"/>
        <w:szCs w:val="16"/>
        <w:rtl w:val="0"/>
      </w:rPr>
      <w:t xml:space="preserve">Tecnologico</w:t>
    </w:r>
    <w:r w:rsidDel="00000000" w:rsidR="00000000" w:rsidRPr="00000000">
      <w:rPr>
        <w:b w:val="1"/>
        <w:color w:val="808080"/>
        <w:sz w:val="16"/>
        <w:szCs w:val="16"/>
        <w:rtl w:val="0"/>
      </w:rPr>
      <w:t xml:space="preserve"> (Costruzioni, Ambiente e Territorio)</w:t>
    </w:r>
    <w:r w:rsidDel="00000000" w:rsidR="00000000" w:rsidRPr="00000000">
      <w:rPr>
        <w:color w:val="808080"/>
        <w:sz w:val="16"/>
        <w:szCs w:val="16"/>
        <w:rtl w:val="0"/>
      </w:rPr>
      <w:t xml:space="preserve"> </w:t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b w:val="1"/>
        <w:color w:val="000000"/>
        <w:sz w:val="20"/>
        <w:szCs w:val="20"/>
      </w:rPr>
    </w:pPr>
    <w:r w:rsidDel="00000000" w:rsidR="00000000" w:rsidRPr="00000000">
      <w:rPr>
        <w:b w:val="1"/>
        <w:color w:val="000000"/>
        <w:sz w:val="20"/>
        <w:szCs w:val="20"/>
        <w:rtl w:val="0"/>
      </w:rPr>
      <w:t xml:space="preserve">IS Lorenzo Lotto – Trescore Balneario</w:t>
    </w:r>
  </w:p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Ministero dell’Istruzione e del Merito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8892</wp:posOffset>
          </wp:positionH>
          <wp:positionV relativeFrom="paragraph">
            <wp:posOffset>34290</wp:posOffset>
          </wp:positionV>
          <wp:extent cx="809625" cy="781050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09625" cy="7810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5200015</wp:posOffset>
          </wp:positionH>
          <wp:positionV relativeFrom="paragraph">
            <wp:posOffset>34290</wp:posOffset>
          </wp:positionV>
          <wp:extent cx="971550" cy="72390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71550" cy="7239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7">
    <w:pPr>
      <w:spacing w:after="120" w:lineRule="auto"/>
      <w:jc w:val="center"/>
      <w:rPr>
        <w:b w:val="1"/>
        <w:sz w:val="20"/>
        <w:szCs w:val="20"/>
      </w:rPr>
    </w:pPr>
    <w:r w:rsidDel="00000000" w:rsidR="00000000" w:rsidRPr="00000000">
      <w:rPr>
        <w:b w:val="1"/>
        <w:sz w:val="20"/>
        <w:szCs w:val="20"/>
        <w:rtl w:val="0"/>
      </w:rPr>
      <w:t xml:space="preserve">Istituto Superiore “Lorenzo LOTTO”</w:t>
    </w:r>
  </w:p>
  <w:p w:rsidR="00000000" w:rsidDel="00000000" w:rsidP="00000000" w:rsidRDefault="00000000" w:rsidRPr="00000000" w14:paraId="00000038">
    <w:pPr>
      <w:jc w:val="center"/>
      <w:rPr>
        <w:color w:val="404040"/>
        <w:sz w:val="16"/>
        <w:szCs w:val="16"/>
      </w:rPr>
    </w:pPr>
    <w:r w:rsidDel="00000000" w:rsidR="00000000" w:rsidRPr="00000000">
      <w:rPr>
        <w:color w:val="404040"/>
        <w:sz w:val="16"/>
        <w:szCs w:val="16"/>
        <w:rtl w:val="0"/>
      </w:rPr>
      <w:t xml:space="preserve">Via dell’Albarotto, 23    –    24069  Trescore Balneario (BG)        </w:t>
    </w:r>
    <w:r w:rsidDel="00000000" w:rsidR="00000000" w:rsidRPr="00000000">
      <w:rPr>
        <w:b w:val="1"/>
        <w:color w:val="404040"/>
        <w:sz w:val="16"/>
        <w:szCs w:val="16"/>
        <w:rtl w:val="0"/>
      </w:rPr>
      <w:t xml:space="preserve">Codice Fiscale</w:t>
    </w:r>
    <w:r w:rsidDel="00000000" w:rsidR="00000000" w:rsidRPr="00000000">
      <w:rPr>
        <w:color w:val="404040"/>
        <w:sz w:val="16"/>
        <w:szCs w:val="16"/>
        <w:rtl w:val="0"/>
      </w:rPr>
      <w:t xml:space="preserve">: 95021050166</w:t>
    </w:r>
  </w:p>
  <w:p w:rsidR="00000000" w:rsidDel="00000000" w:rsidP="00000000" w:rsidRDefault="00000000" w:rsidRPr="00000000" w14:paraId="00000039">
    <w:pPr>
      <w:ind w:left="880" w:hanging="880"/>
      <w:jc w:val="center"/>
      <w:rPr>
        <w:color w:val="404040"/>
        <w:sz w:val="16"/>
        <w:szCs w:val="16"/>
      </w:rPr>
    </w:pPr>
    <w:r w:rsidDel="00000000" w:rsidR="00000000" w:rsidRPr="00000000">
      <w:rPr>
        <w:b w:val="1"/>
        <w:color w:val="404040"/>
        <w:sz w:val="16"/>
        <w:szCs w:val="16"/>
        <w:rtl w:val="0"/>
      </w:rPr>
      <w:t xml:space="preserve">Telefono</w:t>
    </w:r>
    <w:r w:rsidDel="00000000" w:rsidR="00000000" w:rsidRPr="00000000">
      <w:rPr>
        <w:color w:val="404040"/>
        <w:sz w:val="16"/>
        <w:szCs w:val="16"/>
        <w:rtl w:val="0"/>
      </w:rPr>
      <w:t xml:space="preserve">: 035.944.782 - 035.944.680      </w:t>
    </w:r>
    <w:r w:rsidDel="00000000" w:rsidR="00000000" w:rsidRPr="00000000">
      <w:rPr>
        <w:sz w:val="16"/>
        <w:szCs w:val="16"/>
        <w:rtl w:val="0"/>
      </w:rPr>
      <w:t xml:space="preserve">       </w:t>
    </w:r>
    <w:r w:rsidDel="00000000" w:rsidR="00000000" w:rsidRPr="00000000">
      <w:rPr>
        <w:b w:val="1"/>
        <w:color w:val="404040"/>
        <w:sz w:val="16"/>
        <w:szCs w:val="16"/>
        <w:rtl w:val="0"/>
      </w:rPr>
      <w:t xml:space="preserve">Sito web</w:t>
    </w:r>
    <w:r w:rsidDel="00000000" w:rsidR="00000000" w:rsidRPr="00000000">
      <w:rPr>
        <w:color w:val="404040"/>
        <w:sz w:val="16"/>
        <w:szCs w:val="16"/>
        <w:rtl w:val="0"/>
      </w:rPr>
      <w:t xml:space="preserve">: islotto.edu.it</w:t>
    </w:r>
  </w:p>
  <w:p w:rsidR="00000000" w:rsidDel="00000000" w:rsidP="00000000" w:rsidRDefault="00000000" w:rsidRPr="00000000" w14:paraId="0000003A">
    <w:pPr>
      <w:pBdr>
        <w:bottom w:color="000000" w:space="1" w:sz="4" w:val="single"/>
      </w:pBdr>
      <w:jc w:val="center"/>
      <w:rPr>
        <w:color w:val="404040"/>
        <w:sz w:val="16"/>
        <w:szCs w:val="16"/>
      </w:rPr>
    </w:pPr>
    <w:r w:rsidDel="00000000" w:rsidR="00000000" w:rsidRPr="00000000">
      <w:rPr>
        <w:b w:val="1"/>
        <w:color w:val="404040"/>
        <w:sz w:val="16"/>
        <w:szCs w:val="16"/>
        <w:rtl w:val="0"/>
      </w:rPr>
      <w:t xml:space="preserve">e-mail</w:t>
    </w:r>
    <w:r w:rsidDel="00000000" w:rsidR="00000000" w:rsidRPr="00000000">
      <w:rPr>
        <w:color w:val="404040"/>
        <w:sz w:val="16"/>
        <w:szCs w:val="16"/>
        <w:rtl w:val="0"/>
      </w:rPr>
      <w:t xml:space="preserve">: </w:t>
    </w:r>
    <w:hyperlink r:id="rId3">
      <w:r w:rsidDel="00000000" w:rsidR="00000000" w:rsidRPr="00000000">
        <w:rPr>
          <w:color w:val="0000ff"/>
          <w:sz w:val="16"/>
          <w:szCs w:val="16"/>
          <w:u w:val="single"/>
          <w:rtl w:val="0"/>
        </w:rPr>
        <w:t xml:space="preserve">bgis01400v@istruzione.it</w:t>
      </w:r>
    </w:hyperlink>
    <w:r w:rsidDel="00000000" w:rsidR="00000000" w:rsidRPr="00000000">
      <w:rPr>
        <w:sz w:val="16"/>
        <w:szCs w:val="16"/>
        <w:rtl w:val="0"/>
      </w:rPr>
      <w:t xml:space="preserve">        </w:t>
    </w:r>
    <w:r w:rsidDel="00000000" w:rsidR="00000000" w:rsidRPr="00000000">
      <w:rPr>
        <w:b w:val="1"/>
        <w:color w:val="404040"/>
        <w:sz w:val="16"/>
        <w:szCs w:val="16"/>
        <w:rtl w:val="0"/>
      </w:rPr>
      <w:t xml:space="preserve">posta certificata</w:t>
    </w:r>
    <w:r w:rsidDel="00000000" w:rsidR="00000000" w:rsidRPr="00000000">
      <w:rPr>
        <w:color w:val="404040"/>
        <w:sz w:val="16"/>
        <w:szCs w:val="16"/>
        <w:rtl w:val="0"/>
      </w:rPr>
      <w:t xml:space="preserve">: </w:t>
    </w:r>
    <w:hyperlink r:id="rId4">
      <w:r w:rsidDel="00000000" w:rsidR="00000000" w:rsidRPr="00000000">
        <w:rPr>
          <w:color w:val="0000ff"/>
          <w:sz w:val="16"/>
          <w:szCs w:val="16"/>
          <w:u w:val="single"/>
          <w:rtl w:val="0"/>
        </w:rPr>
        <w:t xml:space="preserve">bgis01400v@pec.istruzione.it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pBdr>
        <w:bottom w:color="000000" w:space="1" w:sz="4" w:val="single"/>
      </w:pBdr>
      <w:jc w:val="center"/>
      <w:rPr>
        <w:b w:val="1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  <w:sz w:val="10"/>
        <w:szCs w:val="1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i w:val="1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36609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243f6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Relationship Id="rId3" Type="http://schemas.openxmlformats.org/officeDocument/2006/relationships/hyperlink" Target="mailto:bgis01400v@istruzione.it" TargetMode="External"/><Relationship Id="rId4" Type="http://schemas.openxmlformats.org/officeDocument/2006/relationships/hyperlink" Target="mailto:bgis01400v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zE/Bdlc7pSgBmJot3o5BUyDf6g==">CgMxLjAyCGguZ2pkZ3hzOAByITFSVmgzckdLTmVfVDVLdkpIUlVUeVdJUFdTRkwyR1FyZA==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